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1BFD" w14:textId="75D258C6"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5B1F28">
        <w:rPr>
          <w:b/>
          <w:sz w:val="24"/>
          <w:lang w:val="en-US" w:eastAsia="zh-CN"/>
        </w:rPr>
        <w:t>10</w:t>
      </w:r>
      <w:r w:rsidR="00B6217A">
        <w:rPr>
          <w:b/>
          <w:sz w:val="24"/>
          <w:lang w:val="en-US" w:eastAsia="zh-CN"/>
        </w:rPr>
        <w:t>0</w:t>
      </w:r>
      <w:r w:rsidR="00874D21">
        <w:rPr>
          <w:b/>
          <w:sz w:val="24"/>
          <w:lang w:val="en-US" w:eastAsia="zh-CN"/>
        </w:rPr>
        <w:tab/>
      </w:r>
      <w:r w:rsidR="00625E1A">
        <w:rPr>
          <w:b/>
          <w:sz w:val="24"/>
          <w:lang w:val="en-US" w:eastAsia="zh-CN"/>
        </w:rPr>
        <w:t>R</w:t>
      </w:r>
      <w:r w:rsidR="00B6217A">
        <w:rPr>
          <w:b/>
          <w:sz w:val="24"/>
          <w:lang w:val="en-US" w:eastAsia="zh-CN"/>
        </w:rPr>
        <w:t>P</w:t>
      </w:r>
      <w:r w:rsidR="00625E1A">
        <w:rPr>
          <w:b/>
          <w:sz w:val="24"/>
          <w:lang w:val="en-US" w:eastAsia="zh-CN"/>
        </w:rPr>
        <w:t>-</w:t>
      </w:r>
      <w:r w:rsidR="00E02F1A">
        <w:rPr>
          <w:b/>
          <w:sz w:val="24"/>
          <w:lang w:val="en-US" w:eastAsia="zh-CN"/>
        </w:rPr>
        <w:t>2</w:t>
      </w:r>
      <w:r w:rsidR="005B1F28">
        <w:rPr>
          <w:b/>
          <w:sz w:val="24"/>
          <w:lang w:val="en-US" w:eastAsia="zh-CN"/>
        </w:rPr>
        <w:t>3</w:t>
      </w:r>
      <w:r w:rsidR="00CB3D0B">
        <w:rPr>
          <w:b/>
          <w:sz w:val="24"/>
          <w:lang w:val="en-US" w:eastAsia="zh-CN"/>
        </w:rPr>
        <w:t>1</w:t>
      </w:r>
      <w:r w:rsidR="00BC2B59">
        <w:rPr>
          <w:b/>
          <w:sz w:val="24"/>
          <w:lang w:val="en-US" w:eastAsia="zh-CN"/>
        </w:rPr>
        <w:t>468</w:t>
      </w:r>
    </w:p>
    <w:p w14:paraId="31858557" w14:textId="681E105C" w:rsidR="00874D21" w:rsidRPr="001779ED" w:rsidRDefault="00B6217A">
      <w:pPr>
        <w:pStyle w:val="CRCoverPage"/>
        <w:tabs>
          <w:tab w:val="right" w:pos="9639"/>
        </w:tabs>
        <w:spacing w:after="0"/>
        <w:rPr>
          <w:rFonts w:eastAsia="Batang" w:cs="Arial"/>
          <w:sz w:val="18"/>
          <w:szCs w:val="18"/>
          <w:lang w:eastAsia="zh-CN"/>
        </w:rPr>
      </w:pPr>
      <w:r>
        <w:rPr>
          <w:b/>
          <w:sz w:val="24"/>
          <w:lang w:val="en-US" w:eastAsia="zh-CN"/>
        </w:rPr>
        <w:t>Taipei</w:t>
      </w:r>
      <w:r w:rsidR="0025705C" w:rsidRPr="0025705C">
        <w:rPr>
          <w:b/>
          <w:sz w:val="24"/>
          <w:lang w:val="en-US" w:eastAsia="zh-CN"/>
        </w:rPr>
        <w:t xml:space="preserve">, </w:t>
      </w:r>
      <w:r>
        <w:rPr>
          <w:b/>
          <w:sz w:val="24"/>
          <w:lang w:val="en-US" w:eastAsia="zh-CN"/>
        </w:rPr>
        <w:t>June 1</w:t>
      </w:r>
      <w:r w:rsidR="00E02F1A">
        <w:rPr>
          <w:b/>
          <w:sz w:val="24"/>
          <w:lang w:val="en-US" w:eastAsia="zh-CN"/>
        </w:rPr>
        <w:t xml:space="preserve">2 </w:t>
      </w:r>
      <w:r w:rsidR="008E5178">
        <w:rPr>
          <w:b/>
          <w:sz w:val="24"/>
          <w:lang w:val="en-US" w:eastAsia="zh-CN"/>
        </w:rPr>
        <w:t xml:space="preserve">– </w:t>
      </w:r>
      <w:r>
        <w:rPr>
          <w:b/>
          <w:sz w:val="24"/>
          <w:lang w:val="en-US" w:eastAsia="zh-CN"/>
        </w:rPr>
        <w:t>14</w:t>
      </w:r>
      <w:r w:rsidR="0025705C" w:rsidRPr="0025705C">
        <w:rPr>
          <w:b/>
          <w:sz w:val="24"/>
          <w:lang w:val="en-US" w:eastAsia="zh-CN"/>
        </w:rPr>
        <w:t>, 202</w:t>
      </w:r>
      <w:r w:rsidR="005B1F28">
        <w:rPr>
          <w:b/>
          <w:sz w:val="24"/>
          <w:lang w:val="en-US" w:eastAsia="zh-CN"/>
        </w:rPr>
        <w:t>3</w:t>
      </w:r>
      <w:r w:rsidR="00874D21">
        <w:rPr>
          <w:b/>
          <w:sz w:val="24"/>
          <w:lang w:val="en-US" w:eastAsia="zh-CN"/>
        </w:rPr>
        <w:tab/>
      </w:r>
      <w:r w:rsidR="001779ED">
        <w:rPr>
          <w:sz w:val="18"/>
          <w:szCs w:val="18"/>
          <w:lang w:val="en-US" w:eastAsia="zh-CN"/>
        </w:rPr>
        <w:t>(R</w:t>
      </w:r>
      <w:r w:rsidR="001779ED" w:rsidRPr="00273481">
        <w:rPr>
          <w:sz w:val="18"/>
          <w:szCs w:val="18"/>
          <w:lang w:val="en-US" w:eastAsia="zh-CN"/>
        </w:rPr>
        <w:t>evision</w:t>
      </w:r>
      <w:r w:rsidR="001779ED">
        <w:rPr>
          <w:sz w:val="18"/>
          <w:szCs w:val="18"/>
          <w:lang w:val="en-US" w:eastAsia="zh-CN"/>
        </w:rPr>
        <w:t xml:space="preserve"> of RP-</w:t>
      </w:r>
      <w:r w:rsidR="00E02F1A">
        <w:rPr>
          <w:sz w:val="18"/>
          <w:szCs w:val="18"/>
          <w:lang w:val="en-US" w:eastAsia="zh-CN"/>
        </w:rPr>
        <w:t>22</w:t>
      </w:r>
      <w:r w:rsidR="005B1F28">
        <w:rPr>
          <w:sz w:val="18"/>
          <w:szCs w:val="18"/>
          <w:lang w:val="en-US" w:eastAsia="zh-CN"/>
        </w:rPr>
        <w:t>2216</w:t>
      </w:r>
      <w:r w:rsidR="001779ED">
        <w:rPr>
          <w:sz w:val="18"/>
          <w:szCs w:val="18"/>
          <w:lang w:val="en-US" w:eastAsia="zh-CN"/>
        </w:rPr>
        <w:t>)</w:t>
      </w:r>
    </w:p>
    <w:p w14:paraId="6A591892" w14:textId="77777777" w:rsidR="00874D21" w:rsidRPr="00B6217A"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0EECA9D1"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B1F28">
        <w:rPr>
          <w:rFonts w:ascii="Arial" w:eastAsia="Batang" w:hAnsi="Arial"/>
          <w:b/>
          <w:lang w:val="de-DE" w:eastAsia="zh-CN"/>
        </w:rPr>
        <w:t>ZTE</w:t>
      </w:r>
    </w:p>
    <w:p w14:paraId="4E53050E" w14:textId="36E79960"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0810B0B1"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6217A">
        <w:rPr>
          <w:rFonts w:ascii="Arial" w:eastAsia="Batang" w:hAnsi="Arial"/>
          <w:b/>
          <w:lang w:eastAsia="zh-CN"/>
        </w:rPr>
        <w:t>9</w:t>
      </w:r>
      <w:r w:rsidR="007343DE">
        <w:rPr>
          <w:rFonts w:ascii="Arial" w:eastAsia="Batang" w:hAnsi="Arial"/>
          <w:b/>
          <w:lang w:eastAsia="zh-CN"/>
        </w:rPr>
        <w:t>.</w:t>
      </w:r>
      <w:r w:rsidR="00B6217A">
        <w:rPr>
          <w:rFonts w:ascii="Arial" w:eastAsia="Batang" w:hAnsi="Arial"/>
          <w:b/>
          <w:lang w:eastAsia="zh-CN"/>
        </w:rPr>
        <w:t>2.8</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Hyperlink"/>
          </w:rPr>
          <w:t>3GPP Working Procedures</w:t>
        </w:r>
      </w:hyperlink>
      <w:r>
        <w:t xml:space="preserve">, article 39 and the TSG Working Methods in </w:t>
      </w:r>
      <w:hyperlink r:id="rId8"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094A38BC" w14:textId="77777777" w:rsidR="00874D21" w:rsidRDefault="00874D21">
      <w:pPr>
        <w:pStyle w:val="Heading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Heading2"/>
        <w:tabs>
          <w:tab w:val="left" w:pos="2552"/>
        </w:tabs>
      </w:pPr>
      <w:r>
        <w:t xml:space="preserve">Acronym: </w:t>
      </w:r>
      <w:proofErr w:type="spellStart"/>
      <w:r w:rsidR="008E5178">
        <w:rPr>
          <w:lang w:val="en-US" w:eastAsia="zh-CN"/>
        </w:rPr>
        <w:t>FS_SimBC</w:t>
      </w:r>
      <w:proofErr w:type="spellEnd"/>
    </w:p>
    <w:p w14:paraId="6AE63FA4" w14:textId="5688BD0B" w:rsidR="00874D21" w:rsidRDefault="00874D21">
      <w:pPr>
        <w:pStyle w:val="Heading2"/>
        <w:tabs>
          <w:tab w:val="left" w:pos="2552"/>
        </w:tabs>
      </w:pPr>
      <w:r>
        <w:t xml:space="preserve">Unique identifier: </w:t>
      </w:r>
      <w:r>
        <w:tab/>
      </w:r>
      <w:r w:rsidR="000946F0">
        <w:t>950067</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Heading2"/>
      </w:pPr>
      <w:r>
        <w:t>2</w:t>
      </w:r>
      <w:r>
        <w:tab/>
        <w:t>Classification of the Work Item and linked work items</w:t>
      </w:r>
    </w:p>
    <w:p w14:paraId="54E556A0" w14:textId="77777777" w:rsidR="00874D21" w:rsidRDefault="00874D21">
      <w:pPr>
        <w:pStyle w:val="Heading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Heading2"/>
      </w:pPr>
      <w:r>
        <w:lastRenderedPageBreak/>
        <w:t>3</w:t>
      </w:r>
      <w:r>
        <w:tab/>
        <w:t>Justification</w:t>
      </w:r>
    </w:p>
    <w:p w14:paraId="445F67F9" w14:textId="77777777" w:rsidR="007A7142" w:rsidRDefault="007A7142" w:rsidP="007A7142">
      <w:r>
        <w:t xml:space="preserve">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w:t>
      </w:r>
      <w:proofErr w:type="gramStart"/>
      <w:r>
        <w:t>in order to</w:t>
      </w:r>
      <w:proofErr w:type="gramEnd"/>
      <w:r>
        <w:t xml:space="preserve"> improve the efficiency to specify band combinations and the quality of specifications.</w:t>
      </w:r>
    </w:p>
    <w:p w14:paraId="1B249DEA" w14:textId="77777777" w:rsidR="007A7142" w:rsidRDefault="007A7142" w:rsidP="007A7142">
      <w:r>
        <w:t xml:space="preserve">And the current procedure also results in a lot of errors and workload like reviewing and flagging the documents with errors.  The process can only be simplified to improve the efficiency if we develop guideline, </w:t>
      </w:r>
      <w:proofErr w:type="gramStart"/>
      <w:r>
        <w:t>rules</w:t>
      </w:r>
      <w:proofErr w:type="gramEnd"/>
      <w:r>
        <w:t xml:space="preserve">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w:t>
      </w:r>
      <w:proofErr w:type="gramStart"/>
      <w:r>
        <w:t>TC,c</w:t>
      </w:r>
      <w:proofErr w:type="spellEnd"/>
      <w:proofErr w:type="gramEnd"/>
      <w:r>
        <w:t>, it’s better to further optimize the specification structure.</w:t>
      </w:r>
    </w:p>
    <w:p w14:paraId="6E9EEC47" w14:textId="77777777" w:rsidR="004C7604" w:rsidRPr="00E02F1A" w:rsidRDefault="004C7604" w:rsidP="007A7142">
      <w:pPr>
        <w:rPr>
          <w:lang w:val="en-US"/>
        </w:rPr>
      </w:pPr>
    </w:p>
    <w:p w14:paraId="0B738D68" w14:textId="77777777" w:rsidR="00874D21" w:rsidRDefault="00874D21">
      <w:pPr>
        <w:pStyle w:val="Heading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ListParagraph"/>
        <w:widowControl w:val="0"/>
        <w:numPr>
          <w:ilvl w:val="0"/>
          <w:numId w:val="10"/>
        </w:numPr>
        <w:adjustRightInd w:val="0"/>
        <w:spacing w:after="0"/>
        <w:ind w:firstLineChars="0"/>
        <w:jc w:val="both"/>
      </w:pPr>
      <w:r>
        <w:t xml:space="preserve">Investigate and simplify the working procedure for approving documents for TS and TR to improve the efficiency to specify band combinations and the quality of </w:t>
      </w:r>
      <w:proofErr w:type="gramStart"/>
      <w:r>
        <w:t>specifications</w:t>
      </w:r>
      <w:proofErr w:type="gramEnd"/>
    </w:p>
    <w:p w14:paraId="7681AE80" w14:textId="77777777" w:rsidR="007A7142" w:rsidRDefault="007A7142" w:rsidP="007A7142">
      <w:pPr>
        <w:pStyle w:val="ListParagraph"/>
        <w:widowControl w:val="0"/>
        <w:numPr>
          <w:ilvl w:val="1"/>
          <w:numId w:val="10"/>
        </w:numPr>
        <w:adjustRightInd w:val="0"/>
        <w:spacing w:after="0"/>
        <w:ind w:firstLineChars="0"/>
        <w:jc w:val="both"/>
      </w:pPr>
      <w:r>
        <w:t xml:space="preserve">Improve the efficiency </w:t>
      </w:r>
      <w:proofErr w:type="gramStart"/>
      <w:r>
        <w:t>considering</w:t>
      </w:r>
      <w:proofErr w:type="gramEnd"/>
    </w:p>
    <w:p w14:paraId="68106EAA" w14:textId="77777777" w:rsidR="007A7142" w:rsidRDefault="007A7142" w:rsidP="007A7142">
      <w:pPr>
        <w:pStyle w:val="ListParagraph"/>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ListParagraph"/>
        <w:widowControl w:val="0"/>
        <w:numPr>
          <w:ilvl w:val="2"/>
          <w:numId w:val="10"/>
        </w:numPr>
        <w:adjustRightInd w:val="0"/>
        <w:spacing w:after="0"/>
        <w:ind w:firstLineChars="0"/>
        <w:jc w:val="both"/>
      </w:pPr>
      <w:r>
        <w:t xml:space="preserve">The following rules will be investigated and defined if </w:t>
      </w:r>
      <w:proofErr w:type="gramStart"/>
      <w:r>
        <w:t>necessary</w:t>
      </w:r>
      <w:proofErr w:type="gramEnd"/>
    </w:p>
    <w:p w14:paraId="15ED85AA" w14:textId="77777777" w:rsidR="007A7142" w:rsidRDefault="007A7142" w:rsidP="007A7142">
      <w:pPr>
        <w:pStyle w:val="ListParagraph"/>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ListParagraph"/>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ListParagraph"/>
        <w:widowControl w:val="0"/>
        <w:numPr>
          <w:ilvl w:val="2"/>
          <w:numId w:val="10"/>
        </w:numPr>
        <w:adjustRightInd w:val="0"/>
        <w:spacing w:after="0"/>
        <w:ind w:firstLineChars="0"/>
        <w:jc w:val="both"/>
      </w:pPr>
      <w:r>
        <w:t xml:space="preserve">Develop the necessary tools to reduce RAN4’s workloads if </w:t>
      </w:r>
      <w:proofErr w:type="gramStart"/>
      <w:r>
        <w:t>feasible</w:t>
      </w:r>
      <w:proofErr w:type="gramEnd"/>
    </w:p>
    <w:p w14:paraId="01F62235" w14:textId="77777777" w:rsidR="007A7142" w:rsidRDefault="007A7142" w:rsidP="007A7142">
      <w:pPr>
        <w:pStyle w:val="ListParagraph"/>
        <w:widowControl w:val="0"/>
        <w:numPr>
          <w:ilvl w:val="1"/>
          <w:numId w:val="10"/>
        </w:numPr>
        <w:adjustRightInd w:val="0"/>
        <w:spacing w:after="0"/>
        <w:ind w:firstLineChars="0"/>
        <w:jc w:val="both"/>
      </w:pPr>
      <w:r>
        <w:t xml:space="preserve">Improve the quality </w:t>
      </w:r>
      <w:proofErr w:type="gramStart"/>
      <w:r>
        <w:t>considering</w:t>
      </w:r>
      <w:proofErr w:type="gramEnd"/>
    </w:p>
    <w:p w14:paraId="5A8AF271" w14:textId="77777777" w:rsidR="007A7142" w:rsidRDefault="007A7142" w:rsidP="007A7142">
      <w:pPr>
        <w:pStyle w:val="ListParagraph"/>
        <w:widowControl w:val="0"/>
        <w:numPr>
          <w:ilvl w:val="2"/>
          <w:numId w:val="10"/>
        </w:numPr>
        <w:adjustRightInd w:val="0"/>
        <w:spacing w:after="0"/>
        <w:ind w:firstLineChars="0"/>
        <w:jc w:val="both"/>
      </w:pPr>
      <w:r>
        <w:t xml:space="preserve">RAN4 improves the procedures for cross-checking to avoid conflict between big CR/CRs across basket WIs and other </w:t>
      </w:r>
      <w:proofErr w:type="gramStart"/>
      <w:r>
        <w:t>WIs</w:t>
      </w:r>
      <w:proofErr w:type="gramEnd"/>
    </w:p>
    <w:p w14:paraId="1F83B2D2" w14:textId="77777777" w:rsidR="007A7142" w:rsidRDefault="007A7142" w:rsidP="007A7142">
      <w:pPr>
        <w:pStyle w:val="ListParagraph"/>
        <w:widowControl w:val="0"/>
        <w:numPr>
          <w:ilvl w:val="1"/>
          <w:numId w:val="10"/>
        </w:numPr>
        <w:adjustRightInd w:val="0"/>
        <w:spacing w:after="0"/>
        <w:ind w:firstLineChars="0"/>
        <w:jc w:val="both"/>
      </w:pPr>
      <w:bookmarkStart w:id="4" w:name="OLE_LINK1"/>
      <w:bookmarkStart w:id="5" w:name="OLE_LINK2"/>
      <w:bookmarkStart w:id="6" w:name="OLE_LINK3"/>
      <w:r>
        <w:t xml:space="preserve">RAN4 captures the agreements about the rules and guidelines including </w:t>
      </w:r>
      <w:r>
        <w:rPr>
          <w:u w:val="single"/>
        </w:rPr>
        <w:t>but not being limited to</w:t>
      </w:r>
      <w:r>
        <w:t xml:space="preserve"> the outcome of the above sub-bullets in the corresponding </w:t>
      </w:r>
      <w:proofErr w:type="gramStart"/>
      <w:r>
        <w:t>TR</w:t>
      </w:r>
      <w:bookmarkEnd w:id="4"/>
      <w:bookmarkEnd w:id="5"/>
      <w:bookmarkEnd w:id="6"/>
      <w:proofErr w:type="gramEnd"/>
    </w:p>
    <w:p w14:paraId="1A6FDDA3" w14:textId="77777777" w:rsidR="007A7142" w:rsidRDefault="007A7142" w:rsidP="007A7142">
      <w:pPr>
        <w:pStyle w:val="ListParagraph"/>
        <w:widowControl w:val="0"/>
        <w:numPr>
          <w:ilvl w:val="0"/>
          <w:numId w:val="10"/>
        </w:numPr>
        <w:adjustRightInd w:val="0"/>
        <w:spacing w:after="0"/>
        <w:ind w:firstLineChars="0"/>
        <w:jc w:val="both"/>
      </w:pPr>
      <w:r>
        <w:t xml:space="preserve">Investigate the feasibility and optimize the specification structure and reduce the test </w:t>
      </w:r>
      <w:proofErr w:type="gramStart"/>
      <w:r>
        <w:t>burden</w:t>
      </w:r>
      <w:proofErr w:type="gramEnd"/>
    </w:p>
    <w:p w14:paraId="5096644C" w14:textId="77777777" w:rsidR="007A7142" w:rsidRDefault="007A7142" w:rsidP="007A7142">
      <w:pPr>
        <w:pStyle w:val="ListParagraph"/>
        <w:widowControl w:val="0"/>
        <w:numPr>
          <w:ilvl w:val="1"/>
          <w:numId w:val="10"/>
        </w:numPr>
        <w:adjustRightInd w:val="0"/>
        <w:spacing w:after="0"/>
        <w:ind w:firstLineChars="0"/>
        <w:jc w:val="both"/>
      </w:pPr>
      <w:r>
        <w:t xml:space="preserve">Study the methodology to simplify the test efforts for a UE supporting multiple features, e.g., NR-CA, EN-DC on the same band </w:t>
      </w:r>
      <w:proofErr w:type="gramStart"/>
      <w:r>
        <w:t>combination</w:t>
      </w:r>
      <w:proofErr w:type="gramEnd"/>
    </w:p>
    <w:p w14:paraId="34928649" w14:textId="77777777" w:rsidR="007A7142" w:rsidRDefault="007A7142" w:rsidP="007A7142">
      <w:pPr>
        <w:pStyle w:val="ListParagraph"/>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ListParagraph"/>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ListParagraph"/>
        <w:widowControl w:val="0"/>
        <w:numPr>
          <w:ilvl w:val="2"/>
          <w:numId w:val="10"/>
        </w:numPr>
        <w:adjustRightInd w:val="0"/>
        <w:spacing w:after="0"/>
        <w:ind w:firstLineChars="0"/>
        <w:jc w:val="both"/>
      </w:pPr>
      <w:r>
        <w:t xml:space="preserve">MSD requirements in 38.101-1 and 38.101-3, e.g., reducing the test configurations with different bandwidth </w:t>
      </w:r>
      <w:proofErr w:type="gramStart"/>
      <w:r>
        <w:t>combinations</w:t>
      </w:r>
      <w:proofErr w:type="gramEnd"/>
    </w:p>
    <w:p w14:paraId="390A3CA3" w14:textId="77777777" w:rsidR="007A7142" w:rsidRDefault="007A7142" w:rsidP="007A7142">
      <w:pPr>
        <w:pStyle w:val="ListParagraph"/>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w:t>
      </w:r>
      <w:proofErr w:type="gramStart"/>
      <w:r>
        <w:t>exceptions</w:t>
      </w:r>
      <w:proofErr w:type="gramEnd"/>
    </w:p>
    <w:p w14:paraId="58C4F89A" w14:textId="77777777" w:rsidR="007A7142" w:rsidRDefault="007A7142" w:rsidP="007A7142">
      <w:pPr>
        <w:pStyle w:val="ListParagraph"/>
        <w:widowControl w:val="0"/>
        <w:numPr>
          <w:ilvl w:val="2"/>
          <w:numId w:val="10"/>
        </w:numPr>
        <w:adjustRightInd w:val="0"/>
        <w:spacing w:after="0"/>
        <w:ind w:firstLineChars="0"/>
        <w:jc w:val="both"/>
      </w:pPr>
      <w:r>
        <w:t xml:space="preserve">For </w:t>
      </w:r>
      <w:proofErr w:type="spellStart"/>
      <w:r>
        <w:t>Delta_</w:t>
      </w:r>
      <w:proofErr w:type="gramStart"/>
      <w:r>
        <w:t>TC,c</w:t>
      </w:r>
      <w:proofErr w:type="spellEnd"/>
      <w:proofErr w:type="gramEnd"/>
      <w:r>
        <w:t xml:space="preserve">, investigate whether it can be removed in low boundary formula for </w:t>
      </w:r>
      <w:proofErr w:type="spellStart"/>
      <w:r>
        <w:t>Pcmax</w:t>
      </w:r>
      <w:proofErr w:type="spellEnd"/>
    </w:p>
    <w:p w14:paraId="4449562B" w14:textId="141FDC56" w:rsidR="005B1F28" w:rsidRDefault="005B1F28" w:rsidP="00F55845">
      <w:pPr>
        <w:pStyle w:val="ListParagraph"/>
        <w:widowControl w:val="0"/>
        <w:numPr>
          <w:ilvl w:val="0"/>
          <w:numId w:val="10"/>
        </w:numPr>
        <w:adjustRightInd w:val="0"/>
        <w:spacing w:after="0"/>
        <w:ind w:firstLineChars="0"/>
        <w:jc w:val="both"/>
      </w:pPr>
      <w:r>
        <w:t>Investigate the relationship between the Rel-17 TR 38.862 and Rel-18 TR 38.846:</w:t>
      </w:r>
    </w:p>
    <w:p w14:paraId="4C7B8424" w14:textId="60021059" w:rsidR="005B1F28" w:rsidRPr="00F55845" w:rsidRDefault="00E671EC" w:rsidP="005B1F28">
      <w:pPr>
        <w:pStyle w:val="ListParagraph"/>
        <w:widowControl w:val="0"/>
        <w:numPr>
          <w:ilvl w:val="1"/>
          <w:numId w:val="10"/>
        </w:numPr>
        <w:adjustRightInd w:val="0"/>
        <w:spacing w:after="0"/>
        <w:ind w:firstLineChars="0"/>
        <w:jc w:val="both"/>
        <w:rPr>
          <w:rFonts w:eastAsia="DengXian"/>
          <w:lang w:eastAsia="zh-CN"/>
        </w:rPr>
      </w:pPr>
      <w:r>
        <w:rPr>
          <w:rFonts w:eastAsia="DengXian"/>
          <w:lang w:eastAsia="zh-CN"/>
        </w:rPr>
        <w:t>Handle</w:t>
      </w:r>
      <w:r w:rsidR="009C008C">
        <w:rPr>
          <w:rFonts w:eastAsia="DengXian"/>
          <w:lang w:eastAsia="zh-CN"/>
        </w:rPr>
        <w:t xml:space="preserve"> the common </w:t>
      </w:r>
      <w:r w:rsidR="006B0A61">
        <w:rPr>
          <w:rFonts w:eastAsia="DengXian"/>
          <w:lang w:eastAsia="zh-CN"/>
        </w:rPr>
        <w:t xml:space="preserve">rules or </w:t>
      </w:r>
      <w:r w:rsidR="009C008C">
        <w:rPr>
          <w:rFonts w:eastAsia="DengXian"/>
          <w:lang w:eastAsia="zh-CN"/>
        </w:rPr>
        <w:t xml:space="preserve">guidelines </w:t>
      </w:r>
      <w:r>
        <w:rPr>
          <w:rFonts w:eastAsia="DengXian"/>
          <w:lang w:eastAsia="zh-CN"/>
        </w:rPr>
        <w:t>captured in TR 38.862 which are also applicable to TR 38.846.</w:t>
      </w:r>
    </w:p>
    <w:p w14:paraId="401D31AF" w14:textId="77777777" w:rsidR="007107A2" w:rsidRPr="005B1F28" w:rsidRDefault="007107A2" w:rsidP="007107A2">
      <w:pPr>
        <w:pStyle w:val="ListParagraph"/>
        <w:ind w:left="420" w:firstLineChars="0" w:firstLine="0"/>
      </w:pPr>
    </w:p>
    <w:p w14:paraId="17821F6A" w14:textId="1062FB98" w:rsidR="007A7142" w:rsidRDefault="007A7142" w:rsidP="007A7142">
      <w:pPr>
        <w:pStyle w:val="ListParagraph"/>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ListParagraph"/>
        <w:widowControl w:val="0"/>
        <w:numPr>
          <w:ilvl w:val="0"/>
          <w:numId w:val="10"/>
        </w:numPr>
        <w:adjustRightInd w:val="0"/>
        <w:spacing w:after="0"/>
        <w:ind w:firstLineChars="0"/>
        <w:jc w:val="both"/>
      </w:pPr>
      <w:r>
        <w:t xml:space="preserve">NOTE 2: The work should be applied to all the power </w:t>
      </w:r>
      <w:proofErr w:type="gramStart"/>
      <w:r>
        <w:t>classes</w:t>
      </w:r>
      <w:proofErr w:type="gramEnd"/>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Heading3"/>
        <w:rPr>
          <w:color w:val="0000FF"/>
        </w:rPr>
      </w:pPr>
      <w:r>
        <w:rPr>
          <w:color w:val="0000FF"/>
        </w:rPr>
        <w:lastRenderedPageBreak/>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Heading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 and LTE</w:t>
            </w:r>
          </w:p>
        </w:tc>
        <w:tc>
          <w:tcPr>
            <w:tcW w:w="993" w:type="dxa"/>
          </w:tcPr>
          <w:p w14:paraId="6924F671" w14:textId="697EE394" w:rsidR="00874D21" w:rsidRPr="004A7FE9" w:rsidRDefault="00874D21" w:rsidP="00B16358">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B16358">
              <w:rPr>
                <w:i/>
                <w:color w:val="000000" w:themeColor="text1"/>
              </w:rPr>
              <w:t>100</w:t>
            </w:r>
          </w:p>
        </w:tc>
        <w:tc>
          <w:tcPr>
            <w:tcW w:w="1074" w:type="dxa"/>
          </w:tcPr>
          <w:p w14:paraId="4A0F4130" w14:textId="0C2F8EAE"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w:t>
            </w:r>
            <w:r w:rsidR="00F618CE">
              <w:rPr>
                <w:i/>
                <w:color w:val="000000" w:themeColor="text1"/>
              </w:rPr>
              <w:t>2</w:t>
            </w:r>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Heading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 xml:space="preserve">a, </w:t>
      </w:r>
      <w:proofErr w:type="spellStart"/>
      <w:r>
        <w:rPr>
          <w:i/>
          <w:lang w:eastAsia="zh-CN"/>
        </w:rPr>
        <w:t>Zhifeng</w:t>
      </w:r>
      <w:proofErr w:type="spellEnd"/>
      <w:r>
        <w:rPr>
          <w:i/>
          <w:lang w:eastAsia="zh-CN"/>
        </w:rPr>
        <w:t>,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Hyperlink"/>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Heading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Heading2"/>
        <w:spacing w:before="0"/>
      </w:pPr>
      <w:r>
        <w:t>8</w:t>
      </w:r>
      <w:r>
        <w:tab/>
        <w:t xml:space="preserve">Aspects that involve other </w:t>
      </w:r>
      <w:proofErr w:type="gramStart"/>
      <w:r>
        <w:t>WGs</w:t>
      </w:r>
      <w:proofErr w:type="gramEnd"/>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47341590">
    <w:abstractNumId w:val="8"/>
  </w:num>
  <w:num w:numId="2" w16cid:durableId="1823160337">
    <w:abstractNumId w:val="10"/>
  </w:num>
  <w:num w:numId="3" w16cid:durableId="1870988245">
    <w:abstractNumId w:val="9"/>
  </w:num>
  <w:num w:numId="4" w16cid:durableId="1412506976">
    <w:abstractNumId w:val="6"/>
  </w:num>
  <w:num w:numId="5" w16cid:durableId="150801173">
    <w:abstractNumId w:val="5"/>
  </w:num>
  <w:num w:numId="6" w16cid:durableId="1306351982">
    <w:abstractNumId w:val="1"/>
  </w:num>
  <w:num w:numId="7" w16cid:durableId="2138982713">
    <w:abstractNumId w:val="2"/>
  </w:num>
  <w:num w:numId="8" w16cid:durableId="965543451">
    <w:abstractNumId w:val="0"/>
  </w:num>
  <w:num w:numId="9" w16cid:durableId="1222209288">
    <w:abstractNumId w:val="3"/>
  </w:num>
  <w:num w:numId="10" w16cid:durableId="1200819526">
    <w:abstractNumId w:val="4"/>
  </w:num>
  <w:num w:numId="11" w16cid:durableId="18640068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5F7B"/>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6326"/>
    <w:rsid w:val="0025705C"/>
    <w:rsid w:val="002640E5"/>
    <w:rsid w:val="0026436F"/>
    <w:rsid w:val="0026606E"/>
    <w:rsid w:val="00273481"/>
    <w:rsid w:val="00276403"/>
    <w:rsid w:val="00291CB4"/>
    <w:rsid w:val="002A7693"/>
    <w:rsid w:val="002C1C50"/>
    <w:rsid w:val="002E584C"/>
    <w:rsid w:val="002E687E"/>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6BD9"/>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1F28"/>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0A61"/>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08A1"/>
    <w:rsid w:val="00825407"/>
    <w:rsid w:val="00834A60"/>
    <w:rsid w:val="008379FE"/>
    <w:rsid w:val="0084403C"/>
    <w:rsid w:val="008511D9"/>
    <w:rsid w:val="00863E89"/>
    <w:rsid w:val="00866DF0"/>
    <w:rsid w:val="008707AA"/>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008C"/>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16358"/>
    <w:rsid w:val="00B243DB"/>
    <w:rsid w:val="00B2743D"/>
    <w:rsid w:val="00B3015C"/>
    <w:rsid w:val="00B344D8"/>
    <w:rsid w:val="00B46F56"/>
    <w:rsid w:val="00B53886"/>
    <w:rsid w:val="00B567D1"/>
    <w:rsid w:val="00B6217A"/>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2B59"/>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3D0B"/>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239DF"/>
    <w:rsid w:val="00E32CE6"/>
    <w:rsid w:val="00E52C57"/>
    <w:rsid w:val="00E57E7D"/>
    <w:rsid w:val="00E671EC"/>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3E3"/>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845"/>
    <w:rsid w:val="00F55E3C"/>
    <w:rsid w:val="00F5774F"/>
    <w:rsid w:val="00F618CE"/>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EndnoteReference">
    <w:name w:val="endnote reference"/>
    <w:semiHidden/>
    <w:rPr>
      <w:vertAlign w:val="superscript"/>
    </w:rPr>
  </w:style>
  <w:style w:type="character" w:customStyle="1" w:styleId="ZGSM">
    <w:name w:val="ZGSM"/>
  </w:style>
  <w:style w:type="character" w:styleId="FollowedHyperlink">
    <w:name w:val="FollowedHyperlink"/>
    <w:rPr>
      <w:color w:val="800080"/>
      <w:u w:val="single"/>
    </w:rPr>
  </w:style>
  <w:style w:type="character" w:customStyle="1" w:styleId="FootnoteTextChar">
    <w:name w:val="Footnote Text Char"/>
    <w:link w:val="FootnoteText"/>
    <w:uiPriority w:val="99"/>
    <w:rPr>
      <w:sz w:val="16"/>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SubtleEmphasis">
    <w:name w:val="Subtle Emphasis"/>
    <w:uiPriority w:val="19"/>
    <w:qFormat/>
    <w:rPr>
      <w:rFonts w:eastAsia="SimSun" w:cs="Times New Roman"/>
      <w:bCs w:val="0"/>
      <w:i/>
      <w:iCs/>
      <w:color w:val="808080"/>
      <w:szCs w:val="22"/>
      <w:lang w:eastAsia="zh-CN"/>
    </w:rPr>
  </w:style>
  <w:style w:type="paragraph" w:styleId="Footer">
    <w:name w:val="footer"/>
    <w:basedOn w:val="Header"/>
    <w:pPr>
      <w:jc w:val="center"/>
    </w:pPr>
    <w:rPr>
      <w:i/>
    </w:rPr>
  </w:style>
  <w:style w:type="paragraph" w:styleId="TOC6">
    <w:name w:val="toc 6"/>
    <w:basedOn w:val="TOC5"/>
    <w:next w:val="Normal"/>
    <w:semiHidden/>
    <w:pPr>
      <w:ind w:left="1985" w:hanging="1985"/>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CommentSubject">
    <w:name w:val="annotation subject"/>
    <w:basedOn w:val="CommentText"/>
    <w:next w:val="CommentText"/>
    <w:semiHidden/>
    <w:rPr>
      <w:b/>
      <w:bCs/>
    </w:rPr>
  </w:style>
  <w:style w:type="paragraph" w:styleId="Index1">
    <w:name w:val="index 1"/>
    <w:basedOn w:val="Normal"/>
    <w:semiHidden/>
    <w:pPr>
      <w:keepLines/>
      <w:spacing w:after="0"/>
    </w:pPr>
  </w:style>
  <w:style w:type="paragraph" w:styleId="List5">
    <w:name w:val="List 5"/>
    <w:basedOn w:val="List4"/>
    <w:pPr>
      <w:ind w:left="1702"/>
    </w:pPr>
  </w:style>
  <w:style w:type="paragraph" w:styleId="BodyText">
    <w:name w:val="Body Text"/>
    <w:basedOn w:val="Normal"/>
    <w:pPr>
      <w:widowControl w:val="0"/>
    </w:pPr>
    <w:rPr>
      <w:i/>
      <w:lang w:val="en-US"/>
    </w:rPr>
  </w:style>
  <w:style w:type="paragraph" w:styleId="CommentText">
    <w:name w:val="annotation text"/>
    <w:basedOn w:val="Normal"/>
    <w:semiHidden/>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List2">
    <w:name w:val="List 2"/>
    <w:basedOn w:val="List"/>
    <w:pPr>
      <w:ind w:left="851"/>
    </w:p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style>
  <w:style w:type="paragraph" w:styleId="ListBullet2">
    <w:name w:val="List Bullet 2"/>
    <w:basedOn w:val="ListBullet"/>
    <w:pPr>
      <w:ind w:left="851"/>
    </w:pPr>
  </w:style>
  <w:style w:type="paragraph" w:styleId="TOC2">
    <w:name w:val="toc 2"/>
    <w:basedOn w:val="TOC1"/>
    <w:semiHidden/>
    <w:pPr>
      <w:keepNext w:val="0"/>
      <w:spacing w:before="0"/>
      <w:ind w:left="851" w:hanging="851"/>
    </w:pPr>
    <w:rPr>
      <w:sz w:val="20"/>
    </w:rPr>
  </w:style>
  <w:style w:type="paragraph" w:styleId="List3">
    <w:name w:val="List 3"/>
    <w:basedOn w:val="List2"/>
    <w:pPr>
      <w:ind w:left="1135"/>
    </w:pPr>
  </w:style>
  <w:style w:type="paragraph" w:styleId="TOC5">
    <w:name w:val="toc 5"/>
    <w:basedOn w:val="TOC4"/>
    <w:semiHidden/>
    <w:pPr>
      <w:ind w:left="1701" w:hanging="1701"/>
    </w:pPr>
  </w:style>
  <w:style w:type="paragraph" w:styleId="ListBullet">
    <w:name w:val="List Bullet"/>
    <w:basedOn w:val="List"/>
    <w:pPr>
      <w:ind w:left="0" w:firstLine="0"/>
    </w:pPr>
  </w:style>
  <w:style w:type="paragraph" w:styleId="TOC7">
    <w:name w:val="toc 7"/>
    <w:basedOn w:val="TOC6"/>
    <w:next w:val="Normal"/>
    <w:semiHidden/>
    <w:pPr>
      <w:ind w:left="2268" w:hanging="2268"/>
    </w:pPr>
  </w:style>
  <w:style w:type="paragraph" w:styleId="TOC9">
    <w:name w:val="toc 9"/>
    <w:basedOn w:val="TOC8"/>
    <w:semiHidden/>
    <w:pPr>
      <w:ind w:left="1418" w:hanging="1418"/>
    </w:pPr>
  </w:style>
  <w:style w:type="paragraph" w:styleId="BodyTextIndent2">
    <w:name w:val="Body Text Indent 2"/>
    <w:basedOn w:val="Normal"/>
    <w:pPr>
      <w:ind w:left="284"/>
      <w:jc w:val="both"/>
    </w:pPr>
    <w:rPr>
      <w:rFonts w:ascii="Arial" w:hAnsi="Arial"/>
      <w:sz w:val="22"/>
    </w:rP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Number2">
    <w:name w:val="List Number 2"/>
    <w:basedOn w:val="ListNumber"/>
    <w:pPr>
      <w:ind w:left="851"/>
    </w:pPr>
  </w:style>
  <w:style w:type="paragraph" w:styleId="Index2">
    <w:name w:val="index 2"/>
    <w:basedOn w:val="Index1"/>
    <w:semiHidden/>
    <w:pPr>
      <w:ind w:left="284"/>
    </w:pPr>
  </w:style>
  <w:style w:type="paragraph" w:styleId="List4">
    <w:name w:val="List 4"/>
    <w:basedOn w:val="List3"/>
    <w:pPr>
      <w:ind w:left="1418"/>
    </w:pPr>
  </w:style>
  <w:style w:type="paragraph" w:styleId="ListBullet5">
    <w:name w:val="List Bullet 5"/>
    <w:basedOn w:val="ListBullet4"/>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customStyle="1" w:styleId="NO">
    <w:name w:val="NO"/>
    <w:basedOn w:val="Normal"/>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List"/>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T">
    <w:name w:val="TT"/>
    <w:basedOn w:val="Heading1"/>
    <w:next w:val="Normal"/>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List5"/>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Normal"/>
    <w:pPr>
      <w:spacing w:after="0"/>
    </w:pPr>
  </w:style>
  <w:style w:type="paragraph" w:customStyle="1" w:styleId="HE">
    <w:name w:val="HE"/>
    <w:basedOn w:val="Normal"/>
    <w:rPr>
      <w:rFonts w:ascii="Arial" w:hAnsi="Arial"/>
      <w:b/>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List4"/>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ListParagraphChar">
    <w:name w:val="List Paragraph Char"/>
    <w:aliases w:val="Lista1 Char,列出段落1 Char,中等深浅网格 1 - 着色 21 Char,R4_bullets Char,列表段落1 Char,—ño’i—Ž Char,¥¡¡¡¡ì¬º¥¹¥È¶ÎÂä Char,ÁÐ³ö¶ÎÂä Char,¥ê¥¹¥È¶ÎÂä Char,1st level - Bullet List Paragraph Char,Lettre d'introduction Char,Paragrafo elenco Char"/>
    <w:link w:val="ListParagraph"/>
    <w:uiPriority w:val="34"/>
    <w:qFormat/>
    <w:rsid w:val="00AB5697"/>
    <w:rPr>
      <w:rFonts w:eastAsia="Times New Roman"/>
      <w:lang w:val="en-GB" w:eastAsia="en-US"/>
    </w:rPr>
  </w:style>
  <w:style w:type="paragraph" w:styleId="Revision">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CFBB-9655-4E7E-B69C-B652DFA0FC09}">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1235</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8294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3</cp:revision>
  <cp:lastPrinted>2000-02-29T17:31:00Z</cp:lastPrinted>
  <dcterms:created xsi:type="dcterms:W3CDTF">2023-06-14T03:27:00Z</dcterms:created>
  <dcterms:modified xsi:type="dcterms:W3CDTF">2023-06-14T03:27:00Z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